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13CAD14C" w:rsidR="00671770" w:rsidRPr="00616F17" w:rsidRDefault="00043F40" w:rsidP="00616F17">
      <w:pPr>
        <w:pStyle w:val="Title"/>
        <w:rPr>
          <w:sz w:val="40"/>
        </w:rPr>
      </w:pPr>
      <w:r>
        <w:rPr>
          <w:sz w:val="40"/>
        </w:rPr>
        <w:t xml:space="preserve">Weekend </w:t>
      </w:r>
      <w:r w:rsidR="00633EBF" w:rsidRPr="00633EBF">
        <w:rPr>
          <w:sz w:val="40"/>
        </w:rPr>
        <w:t>Breastfeeding Peer Supporter (</w:t>
      </w:r>
      <w:r>
        <w:rPr>
          <w:sz w:val="40"/>
        </w:rPr>
        <w:t>Islington</w:t>
      </w:r>
      <w:r w:rsidR="00633EBF" w:rsidRPr="00633EBF">
        <w:rPr>
          <w:sz w:val="40"/>
        </w:rPr>
        <w:t>)</w:t>
      </w:r>
    </w:p>
    <w:p w14:paraId="1AFD5A56" w14:textId="1AED3DA9" w:rsidR="00561BA0" w:rsidRPr="003158C3" w:rsidRDefault="001D63BB" w:rsidP="00671770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19AE7090" w14:textId="22292241" w:rsidR="00652360" w:rsidRDefault="00652360" w:rsidP="00652360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The Breastfeeding Network has been </w:t>
      </w:r>
      <w:r w:rsidR="00E305F0">
        <w:rPr>
          <w:rFonts w:ascii="Museo Sans 500" w:eastAsia="Museo Sans 500" w:hAnsi="Museo Sans 500" w:cs="Museo Sans 500"/>
          <w:color w:val="000000"/>
          <w:szCs w:val="24"/>
        </w:rPr>
        <w:t>working in Islington for</w:t>
      </w:r>
      <w:r>
        <w:rPr>
          <w:rFonts w:ascii="Museo Sans 500" w:eastAsia="Museo Sans 500" w:hAnsi="Museo Sans 500" w:cs="Museo Sans 500"/>
          <w:color w:val="000000"/>
          <w:szCs w:val="24"/>
        </w:rPr>
        <w:t xml:space="preserve"> 12 years</w:t>
      </w:r>
      <w:r w:rsidR="004A2D0D">
        <w:rPr>
          <w:rFonts w:ascii="Museo Sans 500" w:eastAsia="Museo Sans 500" w:hAnsi="Museo Sans 500" w:cs="Museo Sans 500"/>
          <w:color w:val="000000"/>
          <w:szCs w:val="24"/>
        </w:rPr>
        <w:t xml:space="preserve">. Our Breastfeeding Peer Supporters provide infant feeding support run groups in the local community, offering phone support and </w:t>
      </w:r>
      <w:r w:rsidR="003B5423">
        <w:rPr>
          <w:rFonts w:ascii="Museo Sans 500" w:eastAsia="Museo Sans 500" w:hAnsi="Museo Sans 500" w:cs="Museo Sans 500"/>
          <w:color w:val="000000"/>
          <w:szCs w:val="24"/>
        </w:rPr>
        <w:t>at bedsides</w:t>
      </w:r>
      <w:r w:rsidR="004A2D0D">
        <w:rPr>
          <w:rFonts w:ascii="Museo Sans 500" w:eastAsia="Museo Sans 500" w:hAnsi="Museo Sans 500" w:cs="Museo Sans 500"/>
          <w:color w:val="000000"/>
          <w:szCs w:val="24"/>
        </w:rPr>
        <w:t xml:space="preserve"> in</w:t>
      </w:r>
      <w:r w:rsidR="00E305F0">
        <w:rPr>
          <w:rFonts w:ascii="Museo Sans 500" w:eastAsia="Museo Sans 500" w:hAnsi="Museo Sans 500" w:cs="Museo Sans 500"/>
          <w:color w:val="000000"/>
          <w:szCs w:val="24"/>
        </w:rPr>
        <w:t xml:space="preserve"> UCLH and Whittington hospitals, and supported by the local Service Manager and Deputy Coordinator.</w:t>
      </w:r>
      <w:bookmarkStart w:id="0" w:name="_GoBack"/>
      <w:bookmarkEnd w:id="0"/>
    </w:p>
    <w:p w14:paraId="3E2F95DC" w14:textId="71832C76" w:rsidR="00043F40" w:rsidRDefault="00671770" w:rsidP="00F6321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We are looking for passionate and mot</w:t>
      </w:r>
      <w:r w:rsidR="008734F3">
        <w:rPr>
          <w:rFonts w:ascii="Museo Sans 500" w:eastAsia="Museo Sans 500" w:hAnsi="Museo Sans 500" w:cs="Museo Sans 500"/>
          <w:sz w:val="22"/>
        </w:rPr>
        <w:t>ivated peer supporters to offer breastfeeding support</w:t>
      </w:r>
      <w:r w:rsidR="00043F40">
        <w:rPr>
          <w:rFonts w:ascii="Museo Sans 500" w:eastAsia="Museo Sans 500" w:hAnsi="Museo Sans 500" w:cs="Museo Sans 500"/>
          <w:sz w:val="22"/>
        </w:rPr>
        <w:t xml:space="preserve"> over the weekend to families on the postnatal ward of the Whittington and UCLH hospitals.</w:t>
      </w:r>
    </w:p>
    <w:p w14:paraId="0FF3DE39" w14:textId="77777777" w:rsidR="00D4610E" w:rsidRDefault="00D4610E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4E4752BE" w14:textId="05963AEE" w:rsidR="00671770" w:rsidRDefault="00F63218" w:rsidP="00F6321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>holder will work independently, supported</w:t>
      </w:r>
      <w:r w:rsidR="00D02BD3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 xml:space="preserve">the hospital team at the weekends. </w:t>
      </w:r>
      <w:r w:rsidR="00652360">
        <w:rPr>
          <w:rFonts w:ascii="Museo Sans 500" w:eastAsia="Museo Sans 500" w:hAnsi="Museo Sans 500" w:cs="Museo Sans 500"/>
          <w:sz w:val="22"/>
        </w:rPr>
        <w:t>We are looking for someone who can work on Saturday, but would also consider employing two individuals to do alternate weekends.</w:t>
      </w:r>
    </w:p>
    <w:p w14:paraId="5BBF99EA" w14:textId="77777777" w:rsidR="003E4E5E" w:rsidRPr="00616F17" w:rsidRDefault="003E4E5E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3577E08" w14:textId="5CAB78E8" w:rsidR="001D63BB" w:rsidRPr="00652360" w:rsidRDefault="001D63BB" w:rsidP="00E41192">
      <w:pPr>
        <w:tabs>
          <w:tab w:val="center" w:pos="5159"/>
        </w:tabs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3D0FF99" w14:textId="203A3035" w:rsidR="00D22B92" w:rsidRDefault="007275EE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Provide</w:t>
      </w:r>
      <w:r w:rsidR="00D22B92">
        <w:rPr>
          <w:rFonts w:ascii="Museo Sans 500" w:eastAsia="Museo Sans 500" w:hAnsi="Museo Sans 500" w:cs="Museo Sans 500"/>
        </w:rPr>
        <w:t xml:space="preserve"> bedside support for families on the maternity wards of UCLH &amp; Whittington Hospitals, who have initiated breastfeeding or wish to</w:t>
      </w:r>
    </w:p>
    <w:p w14:paraId="384531E1" w14:textId="2B2F2735" w:rsidR="008734F3" w:rsidRPr="00E41192" w:rsidRDefault="00D22B92" w:rsidP="00E41192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Listen to parent’s concerns and answer questions about breastfeeding</w:t>
      </w:r>
      <w:r w:rsidR="008734F3" w:rsidRPr="00E41192">
        <w:rPr>
          <w:rFonts w:ascii="Museo Sans 500" w:eastAsia="Museo Sans 500" w:hAnsi="Museo Sans 500" w:cs="Museo Sans 500"/>
        </w:rPr>
        <w:t xml:space="preserve"> </w:t>
      </w:r>
    </w:p>
    <w:p w14:paraId="5EFBAFFB" w14:textId="15584943" w:rsidR="00954D6B" w:rsidRPr="00FB4840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Promote the </w:t>
      </w:r>
      <w:r w:rsidR="00D02BD3" w:rsidRPr="00FB4840">
        <w:rPr>
          <w:rFonts w:ascii="Museo Sans 500" w:eastAsia="Museo Sans 500" w:hAnsi="Museo Sans 500" w:cs="Museo Sans 500"/>
        </w:rPr>
        <w:t xml:space="preserve">BfN service and local </w:t>
      </w:r>
      <w:r w:rsidRPr="00FB4840">
        <w:rPr>
          <w:rFonts w:ascii="Museo Sans 500" w:eastAsia="Museo Sans 500" w:hAnsi="Museo Sans 500" w:cs="Museo Sans 500"/>
        </w:rPr>
        <w:t xml:space="preserve">breastfeeding groups, distribute relevant leaflets and increase public </w:t>
      </w:r>
      <w:r w:rsidR="003B5423">
        <w:rPr>
          <w:rFonts w:ascii="Museo Sans 500" w:eastAsia="Museo Sans 500" w:hAnsi="Museo Sans 500" w:cs="Museo Sans 500"/>
        </w:rPr>
        <w:t>awareness of support available</w:t>
      </w:r>
    </w:p>
    <w:p w14:paraId="2B3830E9" w14:textId="305E24BB" w:rsidR="00954D6B" w:rsidRPr="00FB4840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Provide local mothers and breastfeeding parents with information about local breastfeeding support services and BfN national support (National </w:t>
      </w:r>
      <w:r w:rsidR="00FB4840">
        <w:rPr>
          <w:rFonts w:ascii="Museo Sans 500" w:eastAsia="Museo Sans 500" w:hAnsi="Museo Sans 500" w:cs="Museo Sans 500"/>
        </w:rPr>
        <w:t>Br</w:t>
      </w:r>
      <w:r w:rsidRPr="00FB4840">
        <w:rPr>
          <w:rFonts w:ascii="Museo Sans 500" w:eastAsia="Museo Sans 500" w:hAnsi="Museo Sans 500" w:cs="Museo Sans 500"/>
        </w:rPr>
        <w:t>eastfeeding Helpline and BfN website).</w:t>
      </w:r>
    </w:p>
    <w:p w14:paraId="39082CE1" w14:textId="2E7A1DAE" w:rsidR="00954D6B" w:rsidRPr="00FB4840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Signpost to other services, as needed (such as specialist infant feeding team and health visitors)</w:t>
      </w:r>
      <w:r w:rsidR="00D22B92">
        <w:rPr>
          <w:rFonts w:ascii="Museo Sans 500" w:hAnsi="Museo Sans 500"/>
        </w:rPr>
        <w:t xml:space="preserve"> and encourage parents to g</w:t>
      </w:r>
      <w:r w:rsidR="00053A9E">
        <w:rPr>
          <w:rFonts w:ascii="Museo Sans 500" w:hAnsi="Museo Sans 500"/>
        </w:rPr>
        <w:t xml:space="preserve">o to their </w:t>
      </w:r>
      <w:r w:rsidR="00D22B92">
        <w:rPr>
          <w:rFonts w:ascii="Museo Sans 500" w:hAnsi="Museo Sans 500"/>
        </w:rPr>
        <w:t>local breastfeeding groups once they’ve left hospital</w:t>
      </w:r>
    </w:p>
    <w:p w14:paraId="1072F051" w14:textId="0DB724B3" w:rsidR="00954D6B" w:rsidRPr="00FB4840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3C0A8018" w14:textId="687AFF61" w:rsidR="00A25214" w:rsidRPr="00FB4840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Contribute to special events to promote breastfeeding awareness e.g. National Breastfeeding Week</w:t>
      </w:r>
    </w:p>
    <w:p w14:paraId="5A0612E5" w14:textId="206166D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0FB4840">
        <w:rPr>
          <w:rFonts w:ascii="Museo Sans 500" w:eastAsia="Museo Sans 500" w:hAnsi="Museo Sans 500" w:cs="Museo Sans 500"/>
        </w:rPr>
        <w:t>where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Keep </w:t>
      </w:r>
      <w:r w:rsidR="00954D6B" w:rsidRPr="00FB4840">
        <w:rPr>
          <w:rFonts w:ascii="Museo Sans 500" w:eastAsia="Museo Sans 500" w:hAnsi="Museo Sans 500" w:cs="Museo Sans 500"/>
        </w:rPr>
        <w:t xml:space="preserve">and provide </w:t>
      </w:r>
      <w:r w:rsidRPr="00FB4840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I</w:t>
      </w:r>
      <w:r w:rsidR="728A9D29" w:rsidRPr="00FB4840">
        <w:rPr>
          <w:rFonts w:ascii="Museo Sans 500" w:eastAsia="Museo Sans 500" w:hAnsi="Museo Sans 500" w:cs="Museo Sans 500"/>
        </w:rPr>
        <w:t xml:space="preserve">nformation </w:t>
      </w:r>
      <w:r w:rsidRPr="00FB4840">
        <w:rPr>
          <w:rFonts w:ascii="Museo Sans 500" w:eastAsia="Museo Sans 500" w:hAnsi="Museo Sans 500" w:cs="Museo Sans 500"/>
        </w:rPr>
        <w:t>G</w:t>
      </w:r>
      <w:r w:rsidR="6EBE28EC" w:rsidRPr="00FB4840">
        <w:rPr>
          <w:rFonts w:ascii="Museo Sans 500" w:eastAsia="Museo Sans 500" w:hAnsi="Museo Sans 500" w:cs="Museo Sans 500"/>
        </w:rPr>
        <w:t>overnance</w:t>
      </w:r>
      <w:r w:rsidRPr="00FB4840">
        <w:rPr>
          <w:rFonts w:ascii="Museo Sans 500" w:eastAsia="Museo Sans 500" w:hAnsi="Museo Sans 500" w:cs="Museo Sans 500"/>
        </w:rPr>
        <w:t xml:space="preserve"> Policy</w:t>
      </w:r>
      <w:r w:rsidR="6F52A62C" w:rsidRPr="00FB4840">
        <w:rPr>
          <w:rFonts w:ascii="Museo Sans 500" w:eastAsia="Museo Sans 500" w:hAnsi="Museo Sans 500" w:cs="Museo Sans 500"/>
        </w:rPr>
        <w:t xml:space="preserve"> </w:t>
      </w:r>
      <w:r w:rsidRPr="00FB4840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0FB4840">
        <w:rPr>
          <w:rFonts w:ascii="Museo Sans 500" w:eastAsia="Museo Sans 500" w:hAnsi="Museo Sans 500" w:cs="Museo Sans 500"/>
        </w:rPr>
        <w:t>, seeking supervision from a BfN Supervisor when needed.</w:t>
      </w:r>
    </w:p>
    <w:p w14:paraId="3AD09A75" w14:textId="09FAB027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Attend team meetings as required</w:t>
      </w:r>
      <w:r w:rsidR="27BF1793" w:rsidRPr="00FB4840">
        <w:rPr>
          <w:rFonts w:ascii="Museo Sans 500" w:eastAsia="Museo Sans 500" w:hAnsi="Museo Sans 500" w:cs="Museo Sans 500"/>
        </w:rPr>
        <w:t>;</w:t>
      </w:r>
      <w:r w:rsidR="42060E96" w:rsidRPr="00FB4840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0FB4840">
        <w:rPr>
          <w:rFonts w:ascii="Museo Sans 500" w:eastAsia="Museo Sans 500" w:hAnsi="Museo Sans 500" w:cs="Museo Sans 500"/>
        </w:rPr>
        <w:t>s</w:t>
      </w:r>
      <w:r w:rsidR="42060E96" w:rsidRPr="00FB4840">
        <w:rPr>
          <w:rFonts w:ascii="Museo Sans 500" w:eastAsia="Museo Sans 500" w:hAnsi="Museo Sans 500" w:cs="Museo Sans 500"/>
        </w:rPr>
        <w:t>trengthen</w:t>
      </w:r>
      <w:r w:rsidR="0556669F" w:rsidRPr="00FB4840">
        <w:rPr>
          <w:rFonts w:ascii="Museo Sans 500" w:eastAsia="Museo Sans 500" w:hAnsi="Museo Sans 500" w:cs="Museo Sans 500"/>
        </w:rPr>
        <w:t xml:space="preserve"> the service and </w:t>
      </w:r>
      <w:r w:rsidR="57E1CE45" w:rsidRPr="00FB4840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0FB4840">
        <w:rPr>
          <w:rFonts w:ascii="Museo Sans 500" w:eastAsia="Museo Sans 500" w:hAnsi="Museo Sans 500" w:cs="Museo Sans 500"/>
        </w:rPr>
        <w:t xml:space="preserve"> a</w:t>
      </w:r>
      <w:r w:rsidR="71ABC384" w:rsidRPr="00FB4840">
        <w:rPr>
          <w:rFonts w:ascii="Museo Sans 500" w:eastAsia="Museo Sans 500" w:hAnsi="Museo Sans 500" w:cs="Museo Sans 500"/>
        </w:rPr>
        <w:t>nd in order to</w:t>
      </w:r>
      <w:r w:rsidR="2492E8EE" w:rsidRPr="00FB4840">
        <w:rPr>
          <w:rFonts w:ascii="Museo Sans 500" w:eastAsia="Museo Sans 500" w:hAnsi="Museo Sans 500" w:cs="Museo Sans 500"/>
        </w:rPr>
        <w:t xml:space="preserve"> remain BfN registered.</w:t>
      </w:r>
    </w:p>
    <w:p w14:paraId="1A29C629" w14:textId="2B8A22FB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Participate in regular 1 to 1 meetings (including annual performance reviews if relevant) with the </w:t>
      </w:r>
      <w:r w:rsidR="379618BF" w:rsidRPr="00FB4840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BfN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BfN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057FA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importance and application of the BfN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the BfN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1D63BB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1917299" w14:textId="31109E7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5859E91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4D6333A4" w:rsidR="001D63BB" w:rsidRDefault="00A25214" w:rsidP="00A2521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76B0F6F8"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231662AE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91A5629" w14:textId="738AF5E1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CA26" w14:textId="77777777" w:rsidR="001F0901" w:rsidRDefault="001F0901" w:rsidP="001F7362">
      <w:pPr>
        <w:spacing w:after="0" w:line="240" w:lineRule="auto"/>
      </w:pPr>
      <w:r>
        <w:separator/>
      </w:r>
    </w:p>
  </w:endnote>
  <w:endnote w:type="continuationSeparator" w:id="0">
    <w:p w14:paraId="00E8244E" w14:textId="77777777" w:rsidR="001F0901" w:rsidRDefault="001F090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B645" w14:textId="77777777" w:rsidR="001F0901" w:rsidRDefault="001F0901" w:rsidP="001F7362">
      <w:pPr>
        <w:spacing w:after="0" w:line="240" w:lineRule="auto"/>
      </w:pPr>
      <w:r>
        <w:separator/>
      </w:r>
    </w:p>
  </w:footnote>
  <w:footnote w:type="continuationSeparator" w:id="0">
    <w:p w14:paraId="7F6BE6AA" w14:textId="77777777" w:rsidR="001F0901" w:rsidRDefault="001F090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proofErr w:type="gramStart"/>
    <w:r w:rsidRPr="00E54911">
      <w:rPr>
        <w:rFonts w:ascii="Museo Sans 500" w:hAnsi="Museo Sans 500"/>
        <w:sz w:val="17"/>
        <w:szCs w:val="17"/>
      </w:rPr>
      <w:t>e-mail</w:t>
    </w:r>
    <w:proofErr w:type="gramEnd"/>
    <w:r w:rsidRPr="00E54911">
      <w:rPr>
        <w:rFonts w:ascii="Museo Sans 500" w:hAnsi="Museo Sans 500"/>
        <w:sz w:val="17"/>
        <w:szCs w:val="17"/>
      </w:rPr>
      <w:t xml:space="preserve">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1F0901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41EE3"/>
    <w:rsid w:val="00043F40"/>
    <w:rsid w:val="00050710"/>
    <w:rsid w:val="00053A9E"/>
    <w:rsid w:val="00057FA7"/>
    <w:rsid w:val="000732EF"/>
    <w:rsid w:val="000E02F0"/>
    <w:rsid w:val="00144BC2"/>
    <w:rsid w:val="00145D86"/>
    <w:rsid w:val="0016174D"/>
    <w:rsid w:val="001906B2"/>
    <w:rsid w:val="001D63BB"/>
    <w:rsid w:val="001F0901"/>
    <w:rsid w:val="001F7362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3B5423"/>
    <w:rsid w:val="003E4E5E"/>
    <w:rsid w:val="004172C9"/>
    <w:rsid w:val="00461DC1"/>
    <w:rsid w:val="00474B77"/>
    <w:rsid w:val="00491EF4"/>
    <w:rsid w:val="004A0856"/>
    <w:rsid w:val="004A2D0D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2360"/>
    <w:rsid w:val="006533CB"/>
    <w:rsid w:val="00671770"/>
    <w:rsid w:val="006C4EB9"/>
    <w:rsid w:val="006F7C0D"/>
    <w:rsid w:val="00700B8B"/>
    <w:rsid w:val="007012E0"/>
    <w:rsid w:val="007275EE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241E"/>
    <w:rsid w:val="00AB728C"/>
    <w:rsid w:val="00AD2F2B"/>
    <w:rsid w:val="00AF52A4"/>
    <w:rsid w:val="00B20D4E"/>
    <w:rsid w:val="00B42C15"/>
    <w:rsid w:val="00B43438"/>
    <w:rsid w:val="00B64755"/>
    <w:rsid w:val="00BA5CD9"/>
    <w:rsid w:val="00BE339A"/>
    <w:rsid w:val="00C166D2"/>
    <w:rsid w:val="00C3499F"/>
    <w:rsid w:val="00C639B1"/>
    <w:rsid w:val="00C844E8"/>
    <w:rsid w:val="00C97338"/>
    <w:rsid w:val="00D02BD3"/>
    <w:rsid w:val="00D22B92"/>
    <w:rsid w:val="00D4610E"/>
    <w:rsid w:val="00DF32FD"/>
    <w:rsid w:val="00DF57D7"/>
    <w:rsid w:val="00E270F9"/>
    <w:rsid w:val="00E305F0"/>
    <w:rsid w:val="00E3629F"/>
    <w:rsid w:val="00E41192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B4840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B63D19A0-B126-497E-B3D2-1AC63DB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51343-E13B-4D48-B922-E4466862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Rebecca Frater</cp:lastModifiedBy>
  <cp:revision>4</cp:revision>
  <dcterms:created xsi:type="dcterms:W3CDTF">2024-07-11T09:35:00Z</dcterms:created>
  <dcterms:modified xsi:type="dcterms:W3CDTF">2024-07-23T10:38:00Z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